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hanging="1"/>
        <w:widowControl/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857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10</w:t>
      </w:r>
      <w:r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ind w:left="4820" w:hanging="1"/>
        <w:widowControl/>
        <w:rPr>
          <w:rFonts w:ascii="Times New Roman" w:hAnsi="Times New Roman" w:eastAsia="Arial Unicode MS" w:cs="Times New Roman"/>
          <w:color w:val="000000"/>
          <w:sz w:val="28"/>
          <w:szCs w:val="28"/>
        </w:rPr>
      </w:pPr>
      <w:r>
        <w:rPr>
          <w:rFonts w:ascii="Times New Roman" w:hAnsi="Times New Roman" w:eastAsia="Arial Unicode MS" w:cs="Times New Roman"/>
          <w:color w:val="000000"/>
          <w:sz w:val="28"/>
          <w:szCs w:val="28"/>
        </w:rPr>
        <w:t xml:space="preserve">к Закону Оренбургской области</w:t>
      </w:r>
      <w:r>
        <w:rPr>
          <w:rFonts w:ascii="Times New Roman" w:hAnsi="Times New Roman" w:eastAsia="Arial Unicode MS" w:cs="Times New Roman"/>
          <w:color w:val="000000"/>
          <w:sz w:val="28"/>
          <w:szCs w:val="28"/>
        </w:rPr>
      </w:r>
    </w:p>
    <w:p>
      <w:pPr>
        <w:ind w:left="4962" w:hanging="141"/>
        <w:jc w:val="left"/>
        <w:widowControl/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  <w:t xml:space="preserve">О межбюджетных отношениях</w:t>
      </w:r>
      <w:r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ind w:left="4962" w:hanging="141"/>
        <w:jc w:val="left"/>
        <w:widowControl/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  <w:t xml:space="preserve">в Оренбургской области</w:t>
      </w:r>
      <w:r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ind w:left="4962" w:hanging="141"/>
        <w:jc w:val="left"/>
        <w:widowControl/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  <w:t xml:space="preserve">от 30 ноября 2005 г. № 2738/499-III-ОЗ</w:t>
      </w:r>
      <w:r>
        <w:rPr>
          <w:rStyle w:val="857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pStyle w:val="680"/>
        <w:spacing w:before="0" w:after="0"/>
        <w:widowControl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>
      <w:pPr>
        <w:pStyle w:val="680"/>
        <w:spacing w:before="0" w:after="0"/>
        <w:widowControl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p>
      <w:pPr>
        <w:pStyle w:val="680"/>
        <w:spacing w:before="0" w:after="0"/>
        <w:widowControl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Методика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расчета дотаций на выравнивание бюджетной обеспеченности муниципальных округов, городских округов, муниципальных районов исходя из численности жителей муниципальных округов, городских округов, муниципальных районов на очередной финансовый год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 изменениями)</w:t>
      </w:r>
      <w:r>
        <w:rPr>
          <w:sz w:val="28"/>
          <w:szCs w:val="28"/>
        </w:rPr>
      </w:r>
    </w:p>
    <w:p>
      <w:r/>
      <w:r/>
    </w:p>
    <w:p>
      <w:r/>
      <w:r/>
    </w:p>
    <w:p>
      <w:pPr>
        <w:pStyle w:val="882"/>
        <w:ind w:firstLine="540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дотаций на выравнивание бюджетной обеспеченности муниципаль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ных округов, городских округов, муниципальных районов на очередной финансовый год, распределяемых исходя из численности жителей муниципальных округов, городских округов, муниципальных районов в расчете на одного жителя, рассчитывается по следующей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Дч</w:t>
      </w:r>
      <w:r>
        <w:rPr>
          <w:rFonts w:ascii="TimesNewRoman" w:hAnsi="TimesNewRoman" w:eastAsia="TimesNewRoman" w:cs="TimesNewRoman"/>
          <w:sz w:val="28"/>
        </w:rPr>
        <w:t xml:space="preserve"> = SUM Дч1i + SUM Дч2i + SUM Дч3i + SUM Дч4i + SUM Дч5i, </w:t>
      </w:r>
      <w:r>
        <w:rPr>
          <w:rFonts w:ascii="TimesNewRoman" w:hAnsi="TimesNewRoman" w:eastAsia="TimesNewRoman" w:cs="TimesNewRoman"/>
          <w:sz w:val="28"/>
        </w:rPr>
        <w:t xml:space="preserve">где</w:t>
      </w:r>
      <w:r>
        <w:rPr>
          <w:rFonts w:ascii="TimesNewRoman" w:hAnsi="TimesNewRoman" w:eastAsia="TimesNewRoman" w:cs="TimesNewRoman"/>
          <w:sz w:val="28"/>
        </w:rPr>
        <w:t xml:space="preserve">:</w:t>
      </w:r>
      <w:r>
        <w:rPr>
          <w:rFonts w:ascii="TimesNewRoman" w:hAnsi="TimesNewRoman" w:eastAsia="TimesNewRoman" w:cs="TimesNewRoman"/>
          <w:sz w:val="28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</w:r>
      <w:r>
        <w:rPr>
          <w:rFonts w:ascii="TimesNewRoman" w:hAnsi="TimesNewRoman" w:eastAsia="TimesNewRoman" w:cs="TimesNewRoman"/>
          <w:sz w:val="28"/>
        </w:rPr>
      </w:r>
    </w:p>
    <w:p>
      <w:pPr>
        <w:pStyle w:val="882"/>
        <w:ind w:firstLine="540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дотаций, распределяемый исходя из численности жителей муниципальных округов, городских округов, муниципальных районов в расчете на одного жителя;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SUM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знак суммирования;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округу, городскому округу, муниципальному району, распределяемый исходя из вопросов местного значения по содержанию муниципального имущества;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Дч2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округу, городскому округу, муниципальному району, распределяемый исходя из необходимости реализации социально значимых мероприятий;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Дч3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округу, городскому округу, муниципальному району, распределяемый исходя из необходимости стимулирования развития муниципального образования (обеспечения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неснижения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объемов финансовой поддержки муниципального образования);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Дч4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округу, городскому округу, муниципальному району, распределяемый исходя из необходимости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обеспечения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Дч5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ниципальному округу, городскому округу, муниципальному району, распределяемый исходя из необходимости обеспечения минимального размера оплаты труда работников бюджетной сферы и повышения оплаты труда отдельных категорий работников муниципальных учреждений.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дотации, распределяемый исходя из вопросов местного значения по содержанию муниципального имущества, рассчитывается по следующей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center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= Норм1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КСИ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округу, городскому округу, муниципальному району, распределяемый исходя из вопросов местного значения по содержанию муниципального имущества;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Норм1 - норматив расходов в расчете на 1 жителя по вопросам местного значения по содержанию муниципального имущества, равный 13,2 рубля;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численность постоянного 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 рассчитывается как среднегодовая численность постоянного 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 за последние 5 отчетных лет по данным территориального органа Федеральной службы государственной статистики по Оренбургской области, но не менее численности постоянного 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 на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                  </w:t>
      </w:r>
      <w:bookmarkStart w:id="0" w:name="_GoBack"/>
      <w:r/>
      <w:bookmarkEnd w:id="0"/>
      <w:r>
        <w:rPr>
          <w:rFonts w:ascii="TimesNewRoman" w:hAnsi="TimesNewRoman" w:eastAsia="TimesNewRoman" w:cs="TimesNewRoman"/>
          <w:sz w:val="28"/>
          <w:lang w:val="ru-RU"/>
        </w:rPr>
        <w:t xml:space="preserve"> 1 января года, предшествующего очередному финансовому году (далее - численность постоянного 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района).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КСИ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коэффициент расчетной стоимости имущества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родского округа, муниципального района, утверждаемый настоящим Законом, и определяемый исходя из информации муниципальных округов, городских округов, муниципальных районов о расходах местных бюджетов на уплату налога на имущество организаций и численности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постоянного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 учетом 0,55 уровня финансового обеспечения;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Дотации, распределяемые исходя из вопросов местного значения по содержанию муниципального имущества, перечисляются бюджетам муниципальных округов, городских округов, муниципальных районов на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основании расчетов, предоставляемых финансовыми органами муниципальных округов, городских округов, муниципальных районов.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дотации, распределяемой исходя из необходимости реализации социально значимых мероприятий, рассчитывается по следующей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center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Дч2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= Норм2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КСЗМ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Дч2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округу, городскому округу, муниципальному району, распределяемый исходя из необходимости реализации социально значимых мероприятий;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Норм2 - норматив расходов в расчете на 1 жителя для реализации социально значимых мероприятий, равный 100,0 рубля;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КСЗМ - коэффициент определения социально значимых мероприятий, равный 0 для муниципаль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ных округов, городских округов, муниципальных районов с уровнем расчетной бюджетной обеспеченности, определяемым в соответствии с настоящим Законом, свыше 1,3 и равный 1,062788 - для остальных муниципальных округов, городских округов, муниципальных районов</w:t>
      </w:r>
      <w:r>
        <w:rPr>
          <w:rFonts w:ascii="TimesNewRoman" w:hAnsi="TimesNewRoman" w:eastAsia="TimesNewRoman" w:cs="TimesNewRoman"/>
          <w:color w:val="000000"/>
          <w:sz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численность постоянного 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Дотация предоставляется муниципальным образованиям для решения вопросов местного значения, включенных в перечень социально значимых мероприятий.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К социально значимым мероприятиям относятся мероприятия, направленные на решение вопросов местного значения, за исключением субсидий юридич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еским лицам (за исключением субсидий муниципальным учреждениям и некоммерческим организациям), индивидуальным предпринимателям, физическим лицам, оплаты труда, выплат гражданам, обслуживания муниципального долга, исполнения судебных актов и уплаты налогов.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В случае если социально значимые мероприятия направлены на решение вопросов местного значения поселения, средства предоставляются из бюджета муниципального района в бюджет поселения в форме дотаций.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Дотац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ии, распределяемые исходя из необходимости реализации социально значимых мероприятий, предоставляются бюджетам муниципальных округов, городских округов, муниципальных районов Оренбургской области на основании заявок администраций муниципальных образований.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дотации, распределяемый исходя из необходимости стимулирования развития муниципального образования (обеспечения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неснижения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объемов финансовой поддержки муниципального образования), рассчитывается по следующей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center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Дч3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= Норм3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Дч3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округу, городскому округу, муниципальному району, распределяемый исходя из необходимости стимулирования развития муниципального образования (обеспечения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неснижения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объемов финансовой поддержки муниципального образования);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Норм3</w:t>
      </w:r>
      <w:r>
        <w:rPr>
          <w:sz w:val="28"/>
          <w:szCs w:val="28"/>
        </w:rPr>
        <w:t xml:space="preserve">i</w:t>
      </w:r>
      <w:r>
        <w:rPr>
          <w:sz w:val="28"/>
          <w:szCs w:val="28"/>
          <w:lang w:val="ru-RU"/>
        </w:rPr>
        <w:t xml:space="preserve"> - норматив расходов </w:t>
      </w:r>
      <w:r>
        <w:rPr>
          <w:sz w:val="28"/>
          <w:szCs w:val="28"/>
        </w:rPr>
        <w:t xml:space="preserve">i</w:t>
      </w:r>
      <w:r>
        <w:rPr>
          <w:sz w:val="28"/>
          <w:szCs w:val="28"/>
          <w:lang w:val="ru-RU"/>
        </w:rPr>
        <w:t xml:space="preserve">-го муниципального округа, городского округа, муниципального района в расчете на 1 жителя для стимулирования развития муниципального образования (обеспечения </w:t>
      </w:r>
      <w:r>
        <w:rPr>
          <w:sz w:val="28"/>
          <w:szCs w:val="28"/>
          <w:lang w:val="ru-RU"/>
        </w:rPr>
        <w:t xml:space="preserve">неснижения</w:t>
      </w:r>
      <w:r>
        <w:rPr>
          <w:sz w:val="28"/>
          <w:szCs w:val="28"/>
          <w:lang w:val="ru-RU"/>
        </w:rPr>
        <w:t xml:space="preserve"> объемов финансовой поддержки муниципального образования), утверждаемый настоящим Законом, и определяемый исходя из необходимости обеспечения </w:t>
      </w:r>
      <w:r>
        <w:rPr>
          <w:sz w:val="28"/>
          <w:szCs w:val="28"/>
          <w:lang w:val="ru-RU"/>
        </w:rPr>
        <w:t xml:space="preserve">неснижения</w:t>
      </w:r>
      <w:r>
        <w:rPr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объема дотации на очередной финансовый год, рассчитанной в соответствии с приложением 2 к настоящему Закону (за исключением объема дотаций на выравнивание бюджетной обеспеченности муниципальных округов, городских округов, муниципальны</w:t>
      </w:r>
      <w:r>
        <w:rPr>
          <w:color w:val="000000"/>
          <w:sz w:val="28"/>
          <w:szCs w:val="28"/>
          <w:lang w:val="ru-RU"/>
        </w:rPr>
        <w:t xml:space="preserve">х районов, планируемых к замещению дополнительными нормативами отчислений в местные бюджеты от налога на доходы физических лиц), по сравнению с 0,95 объема дотаций на текущий финансовый год, распределенной в соответствии с приложением 2 к настоящему Закону</w:t>
      </w:r>
      <w:r>
        <w:rPr>
          <w:color w:val="000000"/>
          <w:sz w:val="28"/>
          <w:szCs w:val="28"/>
          <w:lang w:val="ru-RU"/>
        </w:rPr>
        <w:t xml:space="preserve"> (за исключением объема дотаций на выравнивание бюджетной обеспеченности муниципальных округов, городских округов, муниципальных районов, планируемых к замещению дополнительными нормативами отчислений в местные бюджеты от налога на доходы физических лиц), </w:t>
      </w:r>
      <w:r>
        <w:rPr>
          <w:sz w:val="28"/>
          <w:szCs w:val="28"/>
          <w:lang w:val="ru-RU"/>
        </w:rPr>
        <w:t xml:space="preserve">и исходя из необходимости стимулирования развития муниципального образования (</w:t>
      </w:r>
      <w:r>
        <w:rPr>
          <w:sz w:val="28"/>
          <w:lang w:val="ru-RU"/>
        </w:rPr>
        <w:t xml:space="preserve">обеспечения </w:t>
      </w:r>
      <w:r>
        <w:rPr>
          <w:sz w:val="28"/>
          <w:lang w:val="ru-RU"/>
        </w:rPr>
        <w:t xml:space="preserve">неснижения</w:t>
      </w:r>
      <w:r>
        <w:rPr>
          <w:sz w:val="28"/>
          <w:lang w:val="ru-RU"/>
        </w:rPr>
        <w:t xml:space="preserve"> объемов финансовой поддержки муниципального образования)</w:t>
      </w:r>
      <w:r>
        <w:rPr>
          <w:color w:val="000000"/>
          <w:sz w:val="28"/>
          <w:szCs w:val="28"/>
          <w:lang w:val="ru-RU"/>
        </w:rPr>
        <w:t xml:space="preserve">.</w:t>
      </w:r>
      <w:r>
        <w:rPr>
          <w:color w:val="000000"/>
          <w:sz w:val="28"/>
          <w:szCs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численность постоянного 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Дотации, распределяемые исходя из необходимости стимулирования развития муниципального образования (обеспечения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неснижения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объемов финансовой поддержки муниципального образования), предоставляются бюджетам муниципальных округов, городских округов, муниципальных районов на основании заявок администраций муниципальных образований.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дотации, распределяемый исходя из необходимости обеспечения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образования, рассчитывается по следующей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center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Дч4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= Норм4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КОТУ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1,302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12,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Дч4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ьному округу, городскому округу, муниципальному району, распределяемый исходя из необходимости обеспечения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ind w:firstLine="709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Норм4i - норматив расходов i-</w:t>
      </w:r>
      <w:r>
        <w:rPr>
          <w:rFonts w:ascii="TimesNewRoman" w:hAnsi="TimesNewRoman" w:eastAsia="TimesNewRoman" w:cs="TimesNewRoman"/>
          <w:sz w:val="28"/>
        </w:rPr>
        <w:t xml:space="preserve">го</w:t>
      </w:r>
      <w:r>
        <w:rPr>
          <w:rFonts w:ascii="TimesNewRoman" w:hAnsi="TimesNewRoman" w:eastAsia="TimesNewRoman" w:cs="TimesNewRoman"/>
          <w:sz w:val="28"/>
        </w:rPr>
        <w:t xml:space="preserve"> муниципального округа, городского округа, муниципального района в расчете на 1 жителя для обеспечения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образования:</w:t>
      </w:r>
      <w:r>
        <w:rPr>
          <w:rFonts w:ascii="TimesNewRoman" w:hAnsi="TimesNewRoman" w:eastAsia="TimesNewRoman" w:cs="TimesNewRoman"/>
          <w:sz w:val="28"/>
        </w:rPr>
      </w:r>
    </w:p>
    <w:p>
      <w:pPr>
        <w:ind w:firstLine="709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для муниципальных округов и гор</w:t>
      </w:r>
      <w:r>
        <w:rPr>
          <w:rFonts w:ascii="TimesNewRoman" w:hAnsi="TimesNewRoman" w:eastAsia="TimesNewRoman" w:cs="TimesNewRoman"/>
          <w:sz w:val="28"/>
        </w:rPr>
        <w:t xml:space="preserve">одских округов с уровнем расчетной бюджетной обеспеченности, определяемым в соответствии с настоящим Законом, свыше 2,0 равный 2 000,0 рубля, от 0,75 по 2,0 равный 4 000,0 рубля, для остальных муниципальных округов и городских округов равный 8 000,0 рубля;</w:t>
      </w:r>
      <w:r>
        <w:rPr>
          <w:rFonts w:ascii="TimesNewRoman" w:hAnsi="TimesNewRoman" w:eastAsia="TimesNewRoman" w:cs="TimesNewRoman"/>
          <w:sz w:val="28"/>
        </w:rPr>
      </w:r>
    </w:p>
    <w:p>
      <w:pPr>
        <w:ind w:firstLine="709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для муниципальных районов с уровнем расчетной бюджетной обеспеченности, определяемым в соответствии с настоящим Законом, свыше 1,0, равный 2 000,0 рубля, от 0,38 по 1,0 равный 4 000,0 рубля, для остальных муниципальных районов равный 8 000,0 рубля </w:t>
      </w:r>
      <w:r>
        <w:rPr>
          <w:rFonts w:ascii="TimesNewRoman" w:hAnsi="TimesNewRoman" w:eastAsia="TimesNewRoman" w:cs="TimesNewRoman"/>
          <w:sz w:val="28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КОТУ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коэффициент обеспечения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района, утверждаемый настоящим Законом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и определяемый исходя из информации муниципальных округов, городских округов, муниципальных районов о численности работников муниципальных учреждений культуры и педагогических работников муниципальных учреждений дополнительного образования и численности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постоянного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ниципального района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численность постоянного 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Дотации, распределяемые исходя из необходимости обеспечения повышения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оплаты труда работников муниципальных учреждений культуры и педагогических работников муниципальных учреждений дополнительного образования, предоставляются бюджетам муниципальных округов, городских округов, муниципальных районов ежемесячно равными частями.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дотации, распределяемый исходя из необходимости обеспечения минимального размера оплаты труда работников бюджетной сферы и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повышения оплаты труда отдельных категорий работников муниципальных учреждений, рассчитывается по следующей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center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Дч5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= Норм5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КОТПМ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1,302 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12,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Дч5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объем дотации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ниципальному округу, городскому округу, муниципальному району, распределяемый исходя из необходимости обеспечения минимального размера оплаты труда работников бюджетной сферы и повышения оплаты труда отдельных категорий работников муниципальных учреждений;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Норм5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норматив расходов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 в расчете на 1 жителя для обеспечения минимального размера оплаты труда работников бюджетной сферы и повышения оплаты труда отдельных категорий работников муниципальных учреждений: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ind w:firstLine="709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для муниципальных округов и</w:t>
      </w:r>
      <w:r>
        <w:rPr>
          <w:rFonts w:ascii="TimesNewRoman" w:hAnsi="TimesNewRoman" w:eastAsia="TimesNewRoman" w:cs="TimesNewRoman"/>
          <w:sz w:val="28"/>
        </w:rPr>
        <w:t xml:space="preserve"> городских округов с уровнем расчетной бюджетной обеспеченности, определяемым в соответствии с настоящим Законом, свыше 2,0 равный 300,0 рубля, от 0,75 по 2,0 равный 600,0 рубля, для остальных муниципальных округов и городских округов равный 1 200,0 рубля;</w:t>
      </w:r>
      <w:r>
        <w:rPr>
          <w:rFonts w:ascii="TimesNewRoman" w:hAnsi="TimesNewRoman" w:eastAsia="TimesNewRoman" w:cs="TimesNewRoman"/>
          <w:sz w:val="28"/>
        </w:rPr>
      </w:r>
    </w:p>
    <w:p>
      <w:pPr>
        <w:ind w:firstLine="709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для муниципальных районов с уровнем расчетной бюджетной обеспеченности, определяемым в соответствии с настоящим Законом, свыше 1,0, равный 300,0 рубля, от 0,38 по 1,0 равный 600,0 рубля, для остальных муниципальных районов равный 1 200,0 рубля </w:t>
      </w:r>
      <w:r>
        <w:rPr>
          <w:rFonts w:ascii="TimesNewRoman" w:hAnsi="TimesNewRoman" w:eastAsia="TimesNewRoman" w:cs="TimesNewRoman"/>
          <w:sz w:val="28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КОТПМ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коэффициент обеспечения минимального размера оплаты труда работников бюджетной сферы и повышения оплаты труда отдельных категорий работников муниципальных учреждений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района, утверждаемый настоящим Законом, и определяемый исходя из информации муниципальных округов, г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ородских округов, муниципальных районов о численности работников муниципальных учреждений, не вошедших в категории работников муниципальных учреждений культуры и педагогических работников муниципальных учреждений дополнительного образования, и численности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постоянного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района;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- численность постоянного населения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округа, городского округа, муниципального района.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Дотации, распределяемые исходя из необходимости обеспечения мин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имального размера оплаты труда работников бюджетной сферы и повышения оплаты труда отдельных категорий работников муниципальных учреждений, предоставляются бюджетам муниципальных округов, городских округов, муниципальных районов ежемесячно равными частями.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ind w:firstLine="540"/>
        <w:jc w:val="both"/>
        <w:spacing w:before="240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В соответствии с решениями министерства финансов Оренбургской области допускается досрочное перечисление дотаций, предусмотренных в соответствии с настоящим приложением.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2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spacing w:before="0" w:after="0"/>
        <w:widowControl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Коэффициент расчетной стоимости имущества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35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2693"/>
      </w:tblGrid>
      <w:tr>
        <w:tblPrEx/>
        <w:trPr>
          <w:tblHeader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образования*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Бугуруслан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20,3777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Бузулук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18,3154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Медногорск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9,8033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Новотроицк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0,5589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Оренбург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20,6261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Орск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5,7008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6,1738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Гайский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5,5221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Кувандыкский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2,7962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Илецкий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7,5355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Сорочинский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9,0591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Ясненский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23,0371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ЗАТО пос.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Комаровский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1,8888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Адамовский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2,7689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Акбулакский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0,7216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14,4071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Асекеевский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7,4639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Беляевский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24,5289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Бугурусланский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11,3117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Бузулукский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19,2316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Грачевский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8,8959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Домбаровский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27,3558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Илекский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17,9251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Кваркенский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0,1165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Красногвардейский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14,4679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Курманаевский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3,9650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Матвеевский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10,8015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Новоорский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5,5486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Новосергиевский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12,1345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9,5838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45,7595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1,5616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Переволоцкий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14,8649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Пономаревский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25,8274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Сакмарский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3,1777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Саракташский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13,6931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5,8019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Северный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14,7945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Ташлинский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8,1120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Тоцкий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3,8835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Тюльганский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3,3202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Шарлыкский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21,6400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* Наименования муниципальных образований Оренбургской области используются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Общероссийским классификатором территорий муниципальных образований ОК 033-2013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ОКТМО ОК 033-2013.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keepNext/>
        <w:spacing w:before="0" w:after="0"/>
        <w:widowControl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Норматив расходов в расчете на 1 жителя для стимулирования развития муниципального образования (обеспечения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неснижения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объемов финансовой поддержки муниципального образования, включая преобразованные муниципальные округа)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keepNext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keepNext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(рублей)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35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2693"/>
      </w:tblGrid>
      <w:tr>
        <w:tblPrEx/>
        <w:trPr>
          <w:tblHeader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образования*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Бугуруслан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604,88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Бузулук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386,68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Медногорск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305,65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Новотроицк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1 107,81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Орск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1 668,65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2 018,51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Гайский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2 660,63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Кувандыкский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1 768,32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Илецкий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1 775,72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Сорочинский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1 886,09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Ясненский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1 550,12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ЗАТО пос.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Комаровский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183,54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Бузулукский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440,52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Курманаевский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401,52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Матвеевский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780,75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Новоорский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640,81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Новосергиевский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276,96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180,21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380,2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Сакмарский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479,63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Саракташский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463,53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Ташлинский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2 725,16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* Наименования муниципальных образований Оренбургской области используются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Общероссийским классификатором территорий муниципальных образований ОК 033-2013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ОКТМО ОК 033-2013.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r/>
      <w:r/>
    </w:p>
    <w:p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keepNext/>
        <w:spacing w:before="0" w:after="0"/>
        <w:widowControl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Коэффициент обеспечения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keepNext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35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2693"/>
      </w:tblGrid>
      <w:tr>
        <w:tblPrEx/>
        <w:trPr>
          <w:tblHeader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образования*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Бугуруслан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Бузулук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0,0026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Медногорск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Новотроицк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Оренбург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Орск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Гайский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Кувандыкский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Илецкий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Сорочинский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Ясненский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ЗАТО пос.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Комаровский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Адамовский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Акбулакский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0,0055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Асекеевский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0,0053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Беляевский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0,0053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Бугурусланский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0,0063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Бузулукский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Грачевский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0,0082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Домбаровский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Илекский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Кваркенский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Красногвардейский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Курманаевский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Матвеевский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0,0062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Новоорский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Новосергиевский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Переволоцкий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0,0056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Пономаревский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0,0055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Сакмарский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Саракташский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Северный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Ташлинский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Тоцкий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0,0029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Тюльганский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0,0042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Шарлыкский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0,0030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* Наименования муниципальных образований Оренбургской области используются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Общероссийским классификатором территорий муниципальных образований ОК 033-2013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ОКТМО ОК 033-2013.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r/>
      <w:r/>
    </w:p>
    <w:p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keepNext/>
        <w:spacing w:before="0" w:after="0"/>
        <w:widowControl/>
        <w:rPr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1" w:name="undefine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Коэффициент обеспечения минимального размера оплаты труда работников бюджетной сферы и повышения оплаты труда отдельных категорий работников муниципальных учреждений</w:t>
      </w:r>
      <w:bookmarkEnd w:id="1"/>
      <w:r/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keepNext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35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2693"/>
      </w:tblGrid>
      <w:tr>
        <w:tblPrEx/>
        <w:trPr>
          <w:tblHeader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keepNext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1"/>
              <w:jc w:val="center"/>
              <w:keepNext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образования*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1"/>
              <w:jc w:val="center"/>
              <w:keepNext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Бугуруслан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0,0151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Бузулук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0,0121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Медногорск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0,0192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Новотроицк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0,0167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Оренбург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0,0097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 Орск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0,0097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0,0226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Гайский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0,0208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Кувандыкский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0,0199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Илецкий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0,0244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Сорочинский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0,0192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Ясненский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0,0203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ЗАТО пос.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Комаровский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0,0296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Адамовский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0,0260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Акбулакский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0,0233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0,0316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Асекеевский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0,0236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Беляевский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0,0213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Бугурусланский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0,0265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Бузулукский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0,0163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Грачевский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0,0314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Домбаровский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0,0351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Илекский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0,0199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Кваркенский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0,0283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Красногвардейский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0,0249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Курманаевский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0,0221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Матвеевский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Новоорский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0,0168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Новосергиевский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0,0217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0,0269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0,0172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0,0222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Переволоцкий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0,0268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Пономаревский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0,0310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Сакмарский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0,0181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Саракташский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0,0222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0,0359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Северный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0,0256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Ташлинский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0,0226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Тоцкий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0,0179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Тюльганский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0,0256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Шарлыкский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861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0,0263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* Наименования муниципальных образований Оренбургской области используются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Общероссийским классификатором территорий муниципальных образований ОК 033-2013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ОКТМО ОК 033-2013.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r/>
      <w:r/>
    </w:p>
    <w:p>
      <w:pPr>
        <w:widowControl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82"/>
        <w:ind w:firstLine="540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</w:r>
      <w:r>
        <w:rPr>
          <w:color w:val="000000" w:themeColor="text1"/>
          <w:sz w:val="28"/>
          <w:szCs w:val="28"/>
          <w:lang w:val="ru-RU"/>
        </w:rPr>
      </w:r>
    </w:p>
    <w:sectPr>
      <w:headerReference w:type="default" r:id="rId9"/>
      <w:footnotePr/>
      <w:endnotePr/>
      <w:type w:val="nextPage"/>
      <w:pgSz w:w="11905" w:h="16837" w:orient="portrait"/>
      <w:pgMar w:top="1134" w:right="851" w:bottom="1134" w:left="1560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NewRoman">
    <w:panose1 w:val="02020603050405020304"/>
  </w:font>
  <w:font w:name="Symbol">
    <w:panose1 w:val="05010000000000000000"/>
  </w:font>
  <w:font w:name="Calibri">
    <w:panose1 w:val="020F0502020204030204"/>
  </w:font>
  <w:font w:name="Segoe UI">
    <w:panose1 w:val="020B0502040504020204"/>
  </w:font>
  <w:font w:name="Times New Roman CYR">
    <w:panose1 w:val="02020603050405020304"/>
  </w:font>
  <w:font w:name="Arial Unicode MS">
    <w:panose1 w:val="020B0506020203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24676274"/>
      <w:docPartObj>
        <w:docPartGallery w:val="Page Numbers (Top of Page)"/>
        <w:docPartUnique w:val="true"/>
      </w:docPartObj>
      <w:rPr/>
    </w:sdtPr>
    <w:sdtContent>
      <w:p>
        <w:pPr>
          <w:pStyle w:val="86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11</w:t>
        </w:r>
        <w:r>
          <w:fldChar w:fldCharType="end"/>
        </w:r>
        <w:r/>
      </w:p>
    </w:sdtContent>
  </w:sdt>
  <w:p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</w:r>
    <w:r>
      <w:rPr>
        <w:rFonts w:ascii="Times New Roman" w:hAnsi="Times New Roman" w:cs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cs="Times New Roman" w:asciiTheme="minorHAnsi" w:hAnsiTheme="minorHAnsi" w:eastAsiaTheme="minorEastAsia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22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9"/>
    <w:link w:val="701"/>
    <w:uiPriority w:val="10"/>
    <w:rPr>
      <w:sz w:val="48"/>
      <w:szCs w:val="48"/>
    </w:rPr>
  </w:style>
  <w:style w:type="character" w:styleId="37">
    <w:name w:val="Subtitle Char"/>
    <w:basedOn w:val="689"/>
    <w:link w:val="703"/>
    <w:uiPriority w:val="11"/>
    <w:rPr>
      <w:sz w:val="24"/>
      <w:szCs w:val="24"/>
    </w:rPr>
  </w:style>
  <w:style w:type="character" w:styleId="39">
    <w:name w:val="Quote Char"/>
    <w:link w:val="705"/>
    <w:uiPriority w:val="29"/>
    <w:rPr>
      <w:i/>
    </w:rPr>
  </w:style>
  <w:style w:type="character" w:styleId="41">
    <w:name w:val="Intense Quote Char"/>
    <w:link w:val="707"/>
    <w:uiPriority w:val="30"/>
    <w:rPr>
      <w:i/>
    </w:rPr>
  </w:style>
  <w:style w:type="character" w:styleId="47">
    <w:name w:val="Caption Char"/>
    <w:basedOn w:val="689"/>
    <w:link w:val="711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39"/>
    <w:uiPriority w:val="99"/>
    <w:rPr>
      <w:sz w:val="18"/>
    </w:rPr>
  </w:style>
  <w:style w:type="character" w:styleId="179">
    <w:name w:val="Endnote Text Char"/>
    <w:link w:val="842"/>
    <w:uiPriority w:val="99"/>
    <w:rPr>
      <w:sz w:val="20"/>
    </w:rPr>
  </w:style>
  <w:style w:type="paragraph" w:styleId="679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/>
      <w:sz w:val="24"/>
      <w:szCs w:val="24"/>
    </w:rPr>
  </w:style>
  <w:style w:type="paragraph" w:styleId="680">
    <w:name w:val="Heading 1"/>
    <w:basedOn w:val="679"/>
    <w:next w:val="679"/>
    <w:link w:val="856"/>
    <w:uiPriority w:val="99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871"/>
    <w:uiPriority w:val="9"/>
    <w:semiHidden/>
    <w:unhideWhenUsed/>
    <w:qFormat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Heading 1 Char"/>
    <w:basedOn w:val="689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Heading 4 Char"/>
    <w:basedOn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 w:customStyle="1">
    <w:name w:val="Название Знак"/>
    <w:basedOn w:val="689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 w:after="200"/>
    </w:pPr>
  </w:style>
  <w:style w:type="character" w:styleId="704" w:customStyle="1">
    <w:name w:val="Подзаголовок Знак"/>
    <w:basedOn w:val="689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character" w:styleId="709" w:customStyle="1">
    <w:name w:val="Header Char"/>
    <w:basedOn w:val="689"/>
    <w:uiPriority w:val="99"/>
  </w:style>
  <w:style w:type="character" w:styleId="710" w:customStyle="1">
    <w:name w:val="Footer Char"/>
    <w:basedOn w:val="689"/>
    <w:uiPriority w:val="99"/>
  </w:style>
  <w:style w:type="paragraph" w:styleId="711">
    <w:name w:val="Caption"/>
    <w:basedOn w:val="679"/>
    <w:next w:val="679"/>
    <w:link w:val="71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2" w:customStyle="1">
    <w:name w:val="Название объекта Знак"/>
    <w:basedOn w:val="689"/>
    <w:link w:val="711"/>
    <w:uiPriority w:val="35"/>
    <w:rPr>
      <w:b/>
      <w:bCs/>
      <w:color w:val="5b9bd5" w:themeColor="accent1"/>
      <w:sz w:val="18"/>
      <w:szCs w:val="18"/>
    </w:rPr>
  </w:style>
  <w:style w:type="table" w:styleId="713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4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5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8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0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2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3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4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5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6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7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8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5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6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7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8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9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0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1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2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3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5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6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7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8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9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0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1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0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1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2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3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4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5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6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7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8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9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0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1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2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3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4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5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6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7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8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9">
    <w:name w:val="footnote text"/>
    <w:basedOn w:val="679"/>
    <w:link w:val="840"/>
    <w:uiPriority w:val="99"/>
    <w:semiHidden/>
    <w:unhideWhenUsed/>
    <w:pPr>
      <w:spacing w:after="40"/>
    </w:pPr>
    <w:rPr>
      <w:sz w:val="18"/>
    </w:rPr>
  </w:style>
  <w:style w:type="character" w:styleId="840" w:customStyle="1">
    <w:name w:val="Текст сноски Знак"/>
    <w:link w:val="839"/>
    <w:uiPriority w:val="99"/>
    <w:rPr>
      <w:sz w:val="18"/>
    </w:rPr>
  </w:style>
  <w:style w:type="character" w:styleId="841">
    <w:name w:val="footnote reference"/>
    <w:basedOn w:val="689"/>
    <w:uiPriority w:val="99"/>
    <w:unhideWhenUsed/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rPr>
      <w:sz w:val="20"/>
    </w:rPr>
  </w:style>
  <w:style w:type="character" w:styleId="843" w:customStyle="1">
    <w:name w:val="Текст концевой сноски Знак"/>
    <w:link w:val="842"/>
    <w:uiPriority w:val="99"/>
    <w:rPr>
      <w:sz w:val="20"/>
    </w:rPr>
  </w:style>
  <w:style w:type="character" w:styleId="844">
    <w:name w:val="endnote reference"/>
    <w:basedOn w:val="689"/>
    <w:uiPriority w:val="99"/>
    <w:semiHidden/>
    <w:unhideWhenUsed/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ind w:firstLine="0"/>
      <w:spacing w:after="57"/>
    </w:pPr>
  </w:style>
  <w:style w:type="paragraph" w:styleId="846">
    <w:name w:val="toc 2"/>
    <w:basedOn w:val="679"/>
    <w:next w:val="679"/>
    <w:uiPriority w:val="39"/>
    <w:unhideWhenUsed/>
    <w:pPr>
      <w:ind w:left="283" w:firstLine="0"/>
      <w:spacing w:after="57"/>
    </w:pPr>
  </w:style>
  <w:style w:type="paragraph" w:styleId="847">
    <w:name w:val="toc 3"/>
    <w:basedOn w:val="679"/>
    <w:next w:val="679"/>
    <w:uiPriority w:val="39"/>
    <w:unhideWhenUsed/>
    <w:pPr>
      <w:ind w:left="567" w:firstLine="0"/>
      <w:spacing w:after="57"/>
    </w:pPr>
  </w:style>
  <w:style w:type="paragraph" w:styleId="848">
    <w:name w:val="toc 4"/>
    <w:basedOn w:val="679"/>
    <w:next w:val="679"/>
    <w:uiPriority w:val="39"/>
    <w:unhideWhenUsed/>
    <w:pPr>
      <w:ind w:left="850" w:firstLine="0"/>
      <w:spacing w:after="57"/>
    </w:pPr>
  </w:style>
  <w:style w:type="paragraph" w:styleId="849">
    <w:name w:val="toc 5"/>
    <w:basedOn w:val="679"/>
    <w:next w:val="679"/>
    <w:uiPriority w:val="39"/>
    <w:unhideWhenUsed/>
    <w:pPr>
      <w:ind w:left="1134" w:firstLine="0"/>
      <w:spacing w:after="57"/>
    </w:pPr>
  </w:style>
  <w:style w:type="paragraph" w:styleId="850">
    <w:name w:val="toc 6"/>
    <w:basedOn w:val="679"/>
    <w:next w:val="679"/>
    <w:uiPriority w:val="39"/>
    <w:unhideWhenUsed/>
    <w:pPr>
      <w:ind w:left="1417" w:firstLine="0"/>
      <w:spacing w:after="57"/>
    </w:pPr>
  </w:style>
  <w:style w:type="paragraph" w:styleId="851">
    <w:name w:val="toc 7"/>
    <w:basedOn w:val="679"/>
    <w:next w:val="679"/>
    <w:uiPriority w:val="39"/>
    <w:unhideWhenUsed/>
    <w:pPr>
      <w:ind w:left="1701" w:firstLine="0"/>
      <w:spacing w:after="57"/>
    </w:pPr>
  </w:style>
  <w:style w:type="paragraph" w:styleId="852">
    <w:name w:val="toc 8"/>
    <w:basedOn w:val="679"/>
    <w:next w:val="679"/>
    <w:uiPriority w:val="39"/>
    <w:unhideWhenUsed/>
    <w:pPr>
      <w:ind w:left="1984" w:firstLine="0"/>
      <w:spacing w:after="57"/>
    </w:pPr>
  </w:style>
  <w:style w:type="paragraph" w:styleId="853">
    <w:name w:val="toc 9"/>
    <w:basedOn w:val="679"/>
    <w:next w:val="679"/>
    <w:uiPriority w:val="39"/>
    <w:unhideWhenUsed/>
    <w:pPr>
      <w:ind w:left="2268" w:firstLine="0"/>
      <w:spacing w:after="57"/>
    </w:pPr>
  </w:style>
  <w:style w:type="paragraph" w:styleId="854">
    <w:name w:val="TOC Heading"/>
    <w:uiPriority w:val="39"/>
    <w:unhideWhenUsed/>
  </w:style>
  <w:style w:type="paragraph" w:styleId="855">
    <w:name w:val="table of figures"/>
    <w:basedOn w:val="679"/>
    <w:next w:val="679"/>
    <w:uiPriority w:val="99"/>
    <w:unhideWhenUsed/>
  </w:style>
  <w:style w:type="character" w:styleId="856" w:customStyle="1">
    <w:name w:val="Заголовок 1 Знак"/>
    <w:basedOn w:val="689"/>
    <w:link w:val="680"/>
    <w:uiPriority w:val="9"/>
    <w:rPr>
      <w:rFonts w:cs="Times New Roman" w:asciiTheme="majorHAnsi" w:hAnsiTheme="majorHAnsi" w:eastAsiaTheme="majorEastAsia"/>
      <w:b/>
      <w:bCs/>
      <w:sz w:val="32"/>
      <w:szCs w:val="32"/>
    </w:rPr>
  </w:style>
  <w:style w:type="character" w:styleId="857" w:customStyle="1">
    <w:name w:val="Цветовое выделение"/>
    <w:uiPriority w:val="99"/>
    <w:rPr>
      <w:b/>
      <w:color w:val="26282f"/>
    </w:rPr>
  </w:style>
  <w:style w:type="character" w:styleId="858" w:customStyle="1">
    <w:name w:val="Гипертекстовая ссылка"/>
    <w:basedOn w:val="857"/>
    <w:uiPriority w:val="99"/>
    <w:rPr>
      <w:rFonts w:cs="Times New Roman"/>
      <w:b w:val="0"/>
      <w:color w:val="106bbe"/>
    </w:rPr>
  </w:style>
  <w:style w:type="paragraph" w:styleId="859" w:customStyle="1">
    <w:name w:val="Текст информации об изменениях"/>
    <w:basedOn w:val="679"/>
    <w:next w:val="679"/>
    <w:uiPriority w:val="99"/>
    <w:rPr>
      <w:color w:val="353842"/>
      <w:sz w:val="20"/>
      <w:szCs w:val="20"/>
    </w:rPr>
  </w:style>
  <w:style w:type="paragraph" w:styleId="860" w:customStyle="1">
    <w:name w:val="Информация об изменениях"/>
    <w:basedOn w:val="859"/>
    <w:next w:val="679"/>
    <w:uiPriority w:val="99"/>
    <w:pPr>
      <w:ind w:left="360" w:right="360" w:firstLine="0"/>
      <w:spacing w:before="180"/>
    </w:pPr>
  </w:style>
  <w:style w:type="paragraph" w:styleId="861" w:customStyle="1">
    <w:name w:val="Нормальный (таблица)"/>
    <w:basedOn w:val="679"/>
    <w:next w:val="679"/>
    <w:uiPriority w:val="99"/>
    <w:pPr>
      <w:ind w:firstLine="0"/>
    </w:pPr>
  </w:style>
  <w:style w:type="paragraph" w:styleId="862" w:customStyle="1">
    <w:name w:val="Подзаголовок для информации об изменениях"/>
    <w:basedOn w:val="859"/>
    <w:next w:val="679"/>
    <w:uiPriority w:val="99"/>
    <w:rPr>
      <w:b/>
      <w:bCs/>
    </w:rPr>
  </w:style>
  <w:style w:type="paragraph" w:styleId="863" w:customStyle="1">
    <w:name w:val="Прижатый влево"/>
    <w:basedOn w:val="679"/>
    <w:next w:val="679"/>
    <w:uiPriority w:val="99"/>
    <w:pPr>
      <w:ind w:firstLine="0"/>
      <w:jc w:val="left"/>
    </w:pPr>
  </w:style>
  <w:style w:type="character" w:styleId="864" w:customStyle="1">
    <w:name w:val="Цветовое выделение для Текст"/>
    <w:uiPriority w:val="99"/>
    <w:rPr>
      <w:rFonts w:ascii="Times New Roman CYR" w:hAnsi="Times New Roman CYR"/>
    </w:rPr>
  </w:style>
  <w:style w:type="paragraph" w:styleId="865">
    <w:name w:val="Header"/>
    <w:basedOn w:val="679"/>
    <w:link w:val="86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689"/>
    <w:link w:val="865"/>
    <w:uiPriority w:val="99"/>
    <w:rPr>
      <w:rFonts w:ascii="Times New Roman CYR" w:hAnsi="Times New Roman CYR" w:cs="Times New Roman CYR"/>
      <w:sz w:val="24"/>
      <w:szCs w:val="24"/>
    </w:rPr>
  </w:style>
  <w:style w:type="paragraph" w:styleId="867">
    <w:name w:val="Footer"/>
    <w:basedOn w:val="679"/>
    <w:link w:val="86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689"/>
    <w:link w:val="867"/>
    <w:uiPriority w:val="99"/>
    <w:rPr>
      <w:rFonts w:ascii="Times New Roman CYR" w:hAnsi="Times New Roman CYR" w:cs="Times New Roman CYR"/>
      <w:sz w:val="24"/>
      <w:szCs w:val="24"/>
    </w:rPr>
  </w:style>
  <w:style w:type="paragraph" w:styleId="869">
    <w:name w:val="Balloon Text"/>
    <w:basedOn w:val="679"/>
    <w:link w:val="87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0" w:customStyle="1">
    <w:name w:val="Текст выноски Знак"/>
    <w:basedOn w:val="689"/>
    <w:link w:val="869"/>
    <w:uiPriority w:val="99"/>
    <w:semiHidden/>
    <w:rPr>
      <w:rFonts w:ascii="Segoe UI" w:hAnsi="Segoe UI" w:cs="Segoe UI"/>
      <w:sz w:val="18"/>
      <w:szCs w:val="18"/>
    </w:rPr>
  </w:style>
  <w:style w:type="character" w:styleId="871" w:customStyle="1">
    <w:name w:val="Заголовок 4 Знак"/>
    <w:basedOn w:val="689"/>
    <w:link w:val="683"/>
    <w:uiPriority w:val="9"/>
    <w:semiHidden/>
    <w:rPr>
      <w:rFonts w:cstheme="minorBidi"/>
      <w:b/>
      <w:bCs/>
      <w:sz w:val="28"/>
      <w:szCs w:val="28"/>
    </w:rPr>
  </w:style>
  <w:style w:type="paragraph" w:styleId="872" w:customStyle="1">
    <w:name w:val="s_37"/>
    <w:basedOn w:val="679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eastAsia="Times New Roman" w:cs="Times New Roman"/>
    </w:rPr>
  </w:style>
  <w:style w:type="character" w:styleId="873">
    <w:name w:val="Hyperlink"/>
    <w:uiPriority w:val="99"/>
    <w:semiHidden/>
    <w:unhideWhenUsed/>
    <w:rPr>
      <w:color w:val="0000ff"/>
      <w:u w:val="single"/>
    </w:rPr>
  </w:style>
  <w:style w:type="paragraph" w:styleId="874" w:customStyle="1">
    <w:name w:val="s_3"/>
    <w:basedOn w:val="679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eastAsia="Times New Roman" w:cs="Times New Roman"/>
    </w:rPr>
  </w:style>
  <w:style w:type="paragraph" w:styleId="875" w:customStyle="1">
    <w:name w:val="s_1"/>
    <w:basedOn w:val="679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eastAsia="Times New Roman" w:cs="Times New Roman"/>
    </w:rPr>
  </w:style>
  <w:style w:type="character" w:styleId="876" w:customStyle="1">
    <w:name w:val="s_10"/>
  </w:style>
  <w:style w:type="paragraph" w:styleId="877" w:customStyle="1">
    <w:name w:val="indent_1"/>
    <w:basedOn w:val="679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eastAsia="Times New Roman" w:cs="Times New Roman"/>
    </w:rPr>
  </w:style>
  <w:style w:type="paragraph" w:styleId="878" w:customStyle="1">
    <w:name w:val="s_16"/>
    <w:basedOn w:val="679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eastAsia="Times New Roman" w:cs="Times New Roman"/>
    </w:rPr>
  </w:style>
  <w:style w:type="paragraph" w:styleId="879" w:customStyle="1">
    <w:name w:val="empty"/>
    <w:basedOn w:val="679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eastAsia="Times New Roman" w:cs="Times New Roman"/>
    </w:rPr>
  </w:style>
  <w:style w:type="paragraph" w:styleId="880">
    <w:name w:val="List Paragraph"/>
    <w:basedOn w:val="679"/>
    <w:uiPriority w:val="34"/>
    <w:qFormat/>
    <w:pPr>
      <w:ind w:left="708" w:firstLine="0"/>
      <w:jc w:val="left"/>
      <w:widowControl/>
    </w:pPr>
    <w:rPr>
      <w:rFonts w:ascii="Arial Unicode MS" w:hAnsi="Arial Unicode MS" w:eastAsia="Arial Unicode MS" w:cs="Arial Unicode MS"/>
      <w:color w:val="000000"/>
    </w:rPr>
  </w:style>
  <w:style w:type="paragraph" w:styleId="881">
    <w:name w:val="No Spacing"/>
    <w:uiPriority w:val="1"/>
    <w:qFormat/>
    <w:pPr>
      <w:spacing w:after="0" w:line="240" w:lineRule="auto"/>
    </w:pPr>
    <w:rPr>
      <w:rFonts w:ascii="Calibri" w:hAnsi="Calibri" w:eastAsia="Calibri"/>
      <w:lang w:eastAsia="en-US"/>
    </w:rPr>
  </w:style>
  <w:style w:type="paragraph" w:styleId="882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0"/>
      <w:lang w:val="en-US"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НПП "Гарант-Сервис"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suo</cp:lastModifiedBy>
  <cp:revision>7</cp:revision>
  <dcterms:created xsi:type="dcterms:W3CDTF">2025-10-31T12:30:00Z</dcterms:created>
  <dcterms:modified xsi:type="dcterms:W3CDTF">2025-11-01T06:01:46Z</dcterms:modified>
</cp:coreProperties>
</file>